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Servicio integral: asesoramiento personalizado y una gama completa de soluciones</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su socio perfecto para la transición energética.</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Además de una amplia gama de camiones totalmente eléctricos, DAF Trucks ofrece una gran variedad de servicios que ayudan a los operadores en el proceso de transición energética. Esto abarca desde la oferta de cursos de formación para conductores específicos hasta la financiación a medida, desde el suministro de estaciones de carga y sistemas de gestión de energía hasta servicios específicos dentro de la plataforma de gestión de flotas en línea PACCAR Connect. La transición energética implica algo más que comprar un DAF XB, XD o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Todos los concesionarios de Europa: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Totalmente entrenado y equipado</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Disponibilidad de estaciones de carga públicas</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Sistemas líderes de su clase para unas especificaciones excelentes del vehículo</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La herramienta de ventas TOPEC también ofrece simulaciones de rutas y horarios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Configurador de camiones en línea 3D</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Amplia gama de estaciones de carga PACCAR de 20 a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Asesoramiento e implementación de microrredes con sistemas de almacenamiento de energía de baterías</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Instrucciones detalladas para el conductor en el momento de la entrega</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Vales para cursos de formación específicos para conductores</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Sistema de gestión de flotas PACCAR Connect Online</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De serie en todos los DAF XB, XD y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Estado actual del suministro y consumo de energía</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Enlace a DAF Truck Navigation con una descripción general de las estaciones de carga públicas disponibles</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Tarifas atractivas para los contratos de reparación y mantenimiento DAF MultiSupport y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En 2018, DAF fue el primer fabricante europeo de camiones en comercializar un camión totalmente eléctrico y ha desarrollado un conjunto exclusivo y completo de servicios para proporcionar a los clientes la mejor asistencia posible cuando se pasan a la electricidad.</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En primer lugar, todos los concesionarios de ventas DAF de Europa han sido designados oficialmente como DAF Electric Truck Centre. Esto significa que los técnicos especializados y los vendedores han recibido toda la formación necesaria, que los talleres están totalmente equipados para realizar todos los trabajos en camiones eléctricos de forma segura y profesional, y que la disponibilidad de piezas está regulada. Además, todos los concesionarios DAF dispondrán de una estación de carga pública que los clientes y los transeúntes podrán utilizar.</w:t>
      </w:r>
    </w:p>
    <w:p w14:paraId="74D90A21" w14:textId="39F920B1"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el camión ideal para cada aplicación</w:t>
      </w:r>
      <w:r>
        <w:rPr>
          <w:rFonts w:ascii="Inter 28pt" w:hAnsi="Inter 28pt"/>
          <w:sz w:val="24"/>
        </w:rPr>
        <w:br/>
        <w:t xml:space="preserve">Para identificar el camión eléctrico más adecuado para un caso de uso específico, los concesionarios DAF utilizan el sistema TOPEC, que incluye todas las configuraciones y opciones de vehículos disponibles. Esta información se combina con las necesidades operativas específicas del cliente para crear simulaciones completas que indiquen las rutas óptimas, cómo y dónde se pueden cargar mejor las baterías y cuánta energía consumirá el camión. TOPEC es, por lo tanto, una herramienta importante para determinar la mejor configuración del vehículo y obtener la máxima eficiencia por kilómetro. Los operadores de transporte que deseen saber lo que la gama de vehículos eléctricos DAF puede hacer por ellos pueden visitar </w:t>
      </w:r>
      <w:r w:rsidR="00BF4213">
        <w:rPr>
          <w:rFonts w:ascii="Inter 28pt" w:hAnsi="Inter 28pt"/>
          <w:sz w:val="24"/>
        </w:rPr>
        <w:t>la</w:t>
      </w:r>
      <w:r>
        <w:rPr>
          <w:rFonts w:ascii="Inter 28pt" w:hAnsi="Inter 28pt"/>
          <w:sz w:val="24"/>
        </w:rPr>
        <w:t xml:space="preserve"> web de </w:t>
      </w:r>
      <w:r>
        <w:rPr>
          <w:rFonts w:ascii="Inter 28pt" w:hAnsi="Inter 28pt"/>
          <w:sz w:val="24"/>
        </w:rPr>
        <w:lastRenderedPageBreak/>
        <w:t>DAF. Todas las versiones de XB, XD y XF Electric se han integrado completamente en el configurador de camiones 3D en línea.</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Estaciones de carga y microrredes personalizadas</w:t>
      </w:r>
      <w:r>
        <w:rPr>
          <w:rFonts w:ascii="Inter 28pt" w:hAnsi="Inter 28pt"/>
          <w:sz w:val="24"/>
        </w:rPr>
        <w:br/>
        <w:t>Además de los vehículos eléctricos más avanzados, DAF también ofrece una amplia gama de estaciones de carga con potencias de 20 kW a 400 kW y la solución óptima para cada aplicación.</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Hay disponibles cargadores PACCAR de 20 kW a 50 kW, especialmente adecuados para camiones que se cargan por la noche o por la noche después de sus viajes diarios. Los cargadores de 120 kW y 180 kW están diseñados para una carga rápida, por lo que son ideales para flotas que utilizan vehículos eléctricos en varias rutas o en varios turnos. El cargador más potente de 400 kW puede cargar vehículos completamente en menos de dos horas o incluso cargar rápidamente dos vehículos a la vez. Los cargadores móviles de 24 kW a 40 kW son ideales para cargar de forma temporal o provisional, por ejemplo, para facilitar la prueba y demostración de un vehículo.</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A petición del cliente, el servicio se puede ampliar aún más para incluir recomendaciones e incluso asistencia con la implementación de una amplia red micro, que puede incluir paneles solares, un sistema de almacenamiento de energía de la batería (BESS), sistemas avanzados de gestión de energía (EMS) y cargadores rápidos. PACCAR Power Solutions comenzará por planificar elementos como el tamaño de la flota, la implementación, los programas de carga, los requisitos energéticos máximos y las tarifas energéticas. Cualquier excedente de electricidad autogenerada y la capacidad de la red local también forman parte de esta investigación inicial.</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Formación específica para el conductor</w:t>
      </w:r>
      <w:r>
        <w:rPr>
          <w:rFonts w:ascii="Inter 28pt" w:hAnsi="Inter 28pt"/>
          <w:b/>
          <w:sz w:val="24"/>
        </w:rPr>
        <w:br/>
      </w:r>
      <w:r>
        <w:rPr>
          <w:rFonts w:ascii="Inter 28pt" w:hAnsi="Inter 28pt"/>
          <w:sz w:val="24"/>
        </w:rPr>
        <w:t xml:space="preserve">Cuando se entrega un camión eléctrico, el concesionario DAF hace especial énfasis en proporcionar al conductor instrucciones completas para que pueda sacar el máximo partido de cada kWh de electricidad. Durante la entrega del vehículo, se </w:t>
      </w:r>
      <w:r>
        <w:rPr>
          <w:rFonts w:ascii="Inter 28pt" w:hAnsi="Inter 28pt"/>
          <w:sz w:val="24"/>
        </w:rPr>
        <w:lastRenderedPageBreak/>
        <w:t>explican detalladamente todos los entresijos del camión eléctrico, prestando especial atención al arranque, la conducción, el uso y la carga de las baterías del vehículo.</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Además, los clientes y conductores pueden utilizar el cupón de formación para conductores DAF para maximizar la eficiencia energética de DAF Electric. Durante la formación, se ofrece asesoramiento sobre cómo elegir los momentos adecuados para cargar las baterías, optimizar el uso del frenado regenerativo y maximizar la conducción por inercia del camión. Todo ello con el fin de lograr la máxima eficiencia de transporte.</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Por supuesto, todos los camiones DAF totalmente eléctricos también están conectados a la nueva plataforma de gestión de flotas en línea PACCAR Connect, que permite supervisar el rendimiento del vehículo y del conductor las 24 horas del día. PACCAR Connect ayuda a optimizar la rentabilidad de la empresa.</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Una de las principales ventajas de PACCAR Connect es que las aplicaciones logísticas existentes de terceros pueden utilizar los datos del portal en línea. Esto facilita la supervisión de todos los procesos logísticos y el rendimiento de una flota desde un ordenador, un portátil o incluso una tablet. Entre las funciones específicas de las carretillas eléctricas se incluyen informes sobre el consumo de electricidad actual, el estado actual de la batería y la autonomía restante, que son importantes para una planificación eficiente de la ruta.</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también ayuda a los conductores a hacer su trabajo de forma más fácil y eficiente. Los servicios móviles de PACCAR Connect están vinculados al sistema de navegación del camión DAF. Esto significa que las nuevas rutas, que se establecen en la base, se pueden enviar fácilmente y directamente a DAF Truck Navigation. Las estaciones de carga públicas disponibles también se pueden ver de un vistazo.</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El módulo de estado del vehículo opcional también está disponible para camiones eléctricos, lo que proporciona información sobre el estado del vehículo, incluidos </w:t>
      </w:r>
      <w:r>
        <w:rPr>
          <w:rFonts w:ascii="Inter 28pt" w:hAnsi="Inter 28pt"/>
          <w:sz w:val="24"/>
        </w:rPr>
        <w:lastRenderedPageBreak/>
        <w:t>mensajes actualizados en el panel de instrumentos y una indicación de cuándo esperar el próximo mantenimiento.</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Bart Bosmans, miembro del Consejo de Administración de DAF y responsable de marketing y ventas, resume así las cosas: «DAF Transport Efficiency: su rentabilidad, nuestro objetivo». «Esto también se aplica a la amplia gama de camiones y servicios que ofrecemos para ayudar a nuestros clientes en su transición energética de la mejor forma posible. Esto incluye tarifas atractivas para los contratos de reparación y mantenimiento DAF MultiSupport y la financiación de PACCAR Financial, por citar solo algunos ejemplos.</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xml:space="preserve"> es una filial de PACCAR Inc., una empresa basada en la tecnología dedicada al diseño y la fabricación de vehículos ligeros, semipesados y pesados a nivel mundial. DAF fabrica una gama completa de unidades tractoras y rígidas que se adaptan perfectamente a todas las aplicaciones de transporte. DAF también es un proveedor de servicios líder: contratos de reparación y mantenimiento MultiSupport, servicios de financiación por parte de PACCAR Financial y servicios de entrega de recambios de primera categoría de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septiembre de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Nota para los editores</w:t>
      </w:r>
    </w:p>
    <w:p w14:paraId="0B0C1189" w14:textId="77777777" w:rsidR="00702C26" w:rsidRPr="000D7807" w:rsidRDefault="00702C26" w:rsidP="00702C26">
      <w:pPr>
        <w:rPr>
          <w:rFonts w:ascii="Inter 28pt" w:hAnsi="Inter 28pt" w:cs="Arial"/>
          <w:sz w:val="24"/>
        </w:rPr>
      </w:pPr>
      <w:r>
        <w:rPr>
          <w:rFonts w:ascii="Inter 28pt" w:hAnsi="Inter 28pt"/>
          <w:sz w:val="24"/>
        </w:rPr>
        <w:t>Para más información:</w:t>
      </w:r>
    </w:p>
    <w:p w14:paraId="1F2B35A9" w14:textId="77777777" w:rsidR="00BF4213" w:rsidRPr="00F21327" w:rsidRDefault="00BF4213" w:rsidP="00BF4213">
      <w:pPr>
        <w:rPr>
          <w:rFonts w:ascii="Inter 28pt" w:hAnsi="Inter 28pt"/>
          <w:sz w:val="24"/>
        </w:rPr>
      </w:pPr>
      <w:r w:rsidRPr="00F21327">
        <w:rPr>
          <w:rFonts w:ascii="Inter 28pt" w:hAnsi="Inter 28pt"/>
          <w:sz w:val="24"/>
        </w:rPr>
        <w:t>DAF España y Portugal</w:t>
      </w:r>
    </w:p>
    <w:p w14:paraId="57B66145" w14:textId="77777777" w:rsidR="00BF4213" w:rsidRPr="00F21327" w:rsidRDefault="00BF4213" w:rsidP="00BF4213">
      <w:pPr>
        <w:rPr>
          <w:rFonts w:ascii="Inter 28pt" w:hAnsi="Inter 28pt"/>
          <w:sz w:val="24"/>
        </w:rPr>
      </w:pPr>
      <w:r w:rsidRPr="00F21327">
        <w:rPr>
          <w:rFonts w:ascii="Inter 28pt" w:hAnsi="Inter 28pt"/>
          <w:sz w:val="24"/>
        </w:rPr>
        <w:t>Ignacio Jose Acedo Alcaraz</w:t>
      </w:r>
    </w:p>
    <w:p w14:paraId="0ABE7BD8" w14:textId="77777777" w:rsidR="00BF4213" w:rsidRPr="00F21327" w:rsidRDefault="00BF4213" w:rsidP="00BF4213">
      <w:pPr>
        <w:rPr>
          <w:rFonts w:ascii="Inter 28pt" w:hAnsi="Inter 28pt"/>
          <w:sz w:val="24"/>
        </w:rPr>
      </w:pPr>
      <w:r w:rsidRPr="00F21327">
        <w:rPr>
          <w:rFonts w:ascii="Inter 28pt" w:hAnsi="Inter 28pt"/>
          <w:sz w:val="24"/>
        </w:rPr>
        <w:t>+34  616 748 465</w:t>
      </w:r>
    </w:p>
    <w:p w14:paraId="48A1D6E6" w14:textId="77777777" w:rsidR="00BF4213" w:rsidRPr="00F21327" w:rsidRDefault="00BF4213" w:rsidP="00BF4213">
      <w:pPr>
        <w:rPr>
          <w:rFonts w:ascii="Inter 28pt" w:hAnsi="Inter 28pt"/>
          <w:sz w:val="24"/>
        </w:rPr>
      </w:pPr>
      <w:r w:rsidRPr="00F21327">
        <w:rPr>
          <w:rFonts w:ascii="Inter 28pt" w:hAnsi="Inter 28pt"/>
          <w:sz w:val="24"/>
        </w:rPr>
        <w:t>ignacio.jose.acedo@daftrucks.com</w:t>
      </w:r>
    </w:p>
    <w:p w14:paraId="03BE0FB3" w14:textId="77777777" w:rsidR="00BF4213" w:rsidRPr="00F21327" w:rsidRDefault="00BF4213" w:rsidP="00BF4213">
      <w:pPr>
        <w:spacing w:line="276" w:lineRule="auto"/>
        <w:rPr>
          <w:rFonts w:ascii="Inter 28pt" w:hAnsi="Inter 28pt"/>
          <w:sz w:val="24"/>
        </w:rPr>
      </w:pPr>
      <w:hyperlink r:id="rId13" w:history="1">
        <w:r w:rsidRPr="00F21327">
          <w:rPr>
            <w:rStyle w:val="Hyperlink"/>
            <w:rFonts w:ascii="Inter 28pt" w:hAnsi="Inter 28pt"/>
            <w:sz w:val="24"/>
          </w:rPr>
          <w:t>www.daf.es</w:t>
        </w:r>
      </w:hyperlink>
      <w:r w:rsidRPr="00F21327">
        <w:rPr>
          <w:rFonts w:ascii="Inter 28pt" w:hAnsi="Inter 28pt"/>
          <w:sz w:val="24"/>
        </w:rPr>
        <w:t xml:space="preserve"> </w:t>
      </w:r>
      <w:hyperlink r:id="rId14" w:history="1">
        <w:r w:rsidRPr="00F21327">
          <w:rPr>
            <w:rStyle w:val="Hyperlink"/>
            <w:rFonts w:ascii="Inter 28pt" w:hAnsi="Inter 28pt"/>
            <w:sz w:val="24"/>
          </w:rPr>
          <w:t>www.daf.pt</w:t>
        </w:r>
      </w:hyperlink>
    </w:p>
    <w:p w14:paraId="2771BE45" w14:textId="2567EE3C" w:rsidR="005C3F0B" w:rsidRPr="000D7807" w:rsidRDefault="005C3F0B" w:rsidP="00BF4213">
      <w:pPr>
        <w:rPr>
          <w:rFonts w:ascii="Inter 28pt" w:hAnsi="Inter 28pt"/>
          <w:sz w:val="24"/>
        </w:rPr>
      </w:pPr>
    </w:p>
    <w:sectPr w:rsidR="005C3F0B" w:rsidRPr="000D7807"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4D6A" w14:textId="77777777" w:rsidR="00652AB7" w:rsidRDefault="00652AB7">
      <w:r>
        <w:separator/>
      </w:r>
    </w:p>
  </w:endnote>
  <w:endnote w:type="continuationSeparator" w:id="0">
    <w:p w14:paraId="1BD091D2" w14:textId="77777777" w:rsidR="00652AB7" w:rsidRDefault="006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1433" w14:textId="77777777" w:rsidR="00652AB7" w:rsidRDefault="00652AB7">
      <w:r>
        <w:separator/>
      </w:r>
    </w:p>
  </w:footnote>
  <w:footnote w:type="continuationSeparator" w:id="0">
    <w:p w14:paraId="6C08D3DA" w14:textId="77777777" w:rsidR="00652AB7" w:rsidRDefault="0065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1pt;height:57pt;mso-width-percent:0;mso-height-percent:0;mso-width-percent:0;mso-height-percent:0">
                <v:imagedata r:id="rId1" o:title=""/>
              </v:shape>
              <o:OLEObject Type="Embed" ProgID="PBrush" ShapeID="_x0000_i1025" DrawAspect="Content" ObjectID="_181764853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66A15EDA" w:rsidR="0077358E" w:rsidRDefault="0077358E" w:rsidP="008F14AD">
          <w:pPr>
            <w:pStyle w:val="KoptekstLogoCompanyAddress"/>
            <w:framePr w:wrap="around"/>
            <w:rPr>
              <w:u w:val="single"/>
            </w:rPr>
          </w:pPr>
          <w:r>
            <w:t>5600 PT  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3ABB"/>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52AB7"/>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425E9"/>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25CBE"/>
    <w:rsid w:val="00B35DF6"/>
    <w:rsid w:val="00B531C3"/>
    <w:rsid w:val="00B70617"/>
    <w:rsid w:val="00B776CD"/>
    <w:rsid w:val="00B81790"/>
    <w:rsid w:val="00B838EF"/>
    <w:rsid w:val="00B94779"/>
    <w:rsid w:val="00BA750F"/>
    <w:rsid w:val="00BB1FA8"/>
    <w:rsid w:val="00BB756C"/>
    <w:rsid w:val="00BC0BDD"/>
    <w:rsid w:val="00BC0F18"/>
    <w:rsid w:val="00BD01AA"/>
    <w:rsid w:val="00BD4581"/>
    <w:rsid w:val="00BD5544"/>
    <w:rsid w:val="00BE1925"/>
    <w:rsid w:val="00BE5C36"/>
    <w:rsid w:val="00BF3D5C"/>
    <w:rsid w:val="00BF4213"/>
    <w:rsid w:val="00BF621A"/>
    <w:rsid w:val="00BF7110"/>
    <w:rsid w:val="00C0474A"/>
    <w:rsid w:val="00C15D3D"/>
    <w:rsid w:val="00C211C6"/>
    <w:rsid w:val="00C23A03"/>
    <w:rsid w:val="00C25503"/>
    <w:rsid w:val="00C3323E"/>
    <w:rsid w:val="00C33D9C"/>
    <w:rsid w:val="00C3604B"/>
    <w:rsid w:val="00C37940"/>
    <w:rsid w:val="00C53E8C"/>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020E1"/>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DE79-871B-4B53-9B6A-729CEFB87C88}">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3ABB6381-F53C-4913-AB13-C92A40AD975F}">
  <ds:schemaRefs>
    <ds:schemaRef ds:uri="http://schemas.microsoft.com/sharepoint/v3/contenttype/forms"/>
  </ds:schemaRefs>
</ds:datastoreItem>
</file>

<file path=customXml/itemProps4.xml><?xml version="1.0" encoding="utf-8"?>
<ds:datastoreItem xmlns:ds="http://schemas.openxmlformats.org/officeDocument/2006/customXml" ds:itemID="{3CA3DBA7-2FD1-4DC4-ABAE-479DE3E3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7371</Characters>
  <Application>Microsoft Office Word</Application>
  <DocSecurity>4</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2025-08-25T08:35:00Z</cp:lastPrinted>
  <dcterms:created xsi:type="dcterms:W3CDTF">2025-08-25T15:35:00Z</dcterms:created>
  <dcterms:modified xsi:type="dcterms:W3CDTF">2025-08-25T15:35:00Z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